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D2" w:rsidRDefault="00702AA8" w:rsidP="000A1690">
      <w:pPr>
        <w:spacing w:line="0" w:lineRule="atLeast"/>
        <w:ind w:rightChars="281" w:right="535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令和</w:t>
      </w:r>
      <w:r w:rsidR="001D3721">
        <w:rPr>
          <w:rFonts w:asciiTheme="majorEastAsia" w:eastAsiaTheme="majorEastAsia" w:hAnsiTheme="majorEastAsia" w:hint="eastAsia"/>
          <w:sz w:val="22"/>
        </w:rPr>
        <w:t>４</w:t>
      </w:r>
      <w:r w:rsidR="00EC0202" w:rsidRPr="00BA64D2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>５</w:t>
      </w:r>
      <w:r w:rsidR="00EC0202" w:rsidRPr="00BA64D2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１</w:t>
      </w:r>
      <w:r w:rsidR="00EC0202" w:rsidRPr="00BA64D2">
        <w:rPr>
          <w:rFonts w:asciiTheme="majorEastAsia" w:eastAsiaTheme="majorEastAsia" w:hAnsiTheme="majorEastAsia" w:hint="eastAsia"/>
          <w:sz w:val="22"/>
        </w:rPr>
        <w:t>日</w:t>
      </w:r>
    </w:p>
    <w:p w:rsidR="00EC0202" w:rsidRPr="00BA64D2" w:rsidRDefault="00D61D36" w:rsidP="00D61D36">
      <w:pPr>
        <w:spacing w:line="0" w:lineRule="atLeast"/>
        <w:ind w:rightChars="281" w:right="535"/>
        <w:rPr>
          <w:rFonts w:asciiTheme="majorEastAsia" w:eastAsiaTheme="majorEastAsia" w:hAnsiTheme="majorEastAsia"/>
          <w:sz w:val="22"/>
        </w:rPr>
      </w:pPr>
      <w:r w:rsidRPr="000C4A85">
        <w:rPr>
          <w:rFonts w:asciiTheme="majorEastAsia" w:eastAsiaTheme="majorEastAsia" w:hAnsiTheme="majorEastAsia" w:hint="eastAsia"/>
          <w:b/>
          <w:color w:val="FF0000"/>
          <w:sz w:val="32"/>
          <w:szCs w:val="32"/>
          <w:bdr w:val="single" w:sz="4" w:space="0" w:color="auto"/>
        </w:rPr>
        <w:t>別紙</w:t>
      </w:r>
      <w:r w:rsidR="000959F0" w:rsidRPr="000C4A85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</w:t>
      </w:r>
      <w:r w:rsidR="009C411F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「</w:t>
      </w:r>
      <w:r w:rsidR="00702AA8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令和</w:t>
      </w:r>
      <w:r w:rsidR="00AF202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４</w:t>
      </w:r>
      <w:r w:rsidR="0015176C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年度　</w:t>
      </w:r>
      <w:r w:rsidRPr="000C4A85">
        <w:rPr>
          <w:rFonts w:asciiTheme="majorEastAsia" w:eastAsiaTheme="majorEastAsia" w:hAnsiTheme="majorEastAsia" w:hint="eastAsia"/>
          <w:b/>
          <w:color w:val="FF0000"/>
          <w:sz w:val="32"/>
          <w:szCs w:val="28"/>
        </w:rPr>
        <w:t>学力向上アクションプラン</w:t>
      </w:r>
      <w:r w:rsidR="009C411F">
        <w:rPr>
          <w:rFonts w:asciiTheme="majorEastAsia" w:eastAsiaTheme="majorEastAsia" w:hAnsiTheme="majorEastAsia" w:hint="eastAsia"/>
          <w:b/>
          <w:color w:val="FF0000"/>
          <w:sz w:val="32"/>
          <w:szCs w:val="28"/>
        </w:rPr>
        <w:t>」</w:t>
      </w:r>
    </w:p>
    <w:p w:rsidR="00BD5910" w:rsidRPr="004307EA" w:rsidRDefault="00BE7583" w:rsidP="000822B1">
      <w:pPr>
        <w:wordWrap w:val="0"/>
        <w:spacing w:line="0" w:lineRule="atLeast"/>
        <w:ind w:rightChars="281" w:right="535"/>
        <w:jc w:val="right"/>
        <w:rPr>
          <w:rFonts w:asciiTheme="majorEastAsia" w:eastAsiaTheme="majorEastAsia" w:hAnsiTheme="majorEastAsia"/>
        </w:rPr>
      </w:pPr>
      <w:r w:rsidRPr="00BE7583">
        <w:rPr>
          <w:rFonts w:asciiTheme="majorEastAsia" w:eastAsiaTheme="majorEastAsia" w:hAnsiTheme="majorEastAsia" w:hint="eastAsia"/>
          <w:sz w:val="24"/>
          <w:szCs w:val="24"/>
        </w:rPr>
        <w:t xml:space="preserve">足立区立東綾瀬中学校　校長　</w:t>
      </w:r>
      <w:r w:rsidR="00702AA8">
        <w:rPr>
          <w:rFonts w:asciiTheme="majorEastAsia" w:eastAsiaTheme="majorEastAsia" w:hAnsiTheme="majorEastAsia" w:hint="eastAsia"/>
          <w:sz w:val="24"/>
          <w:szCs w:val="24"/>
        </w:rPr>
        <w:t>清野　正</w:t>
      </w:r>
    </w:p>
    <w:tbl>
      <w:tblPr>
        <w:tblStyle w:val="a5"/>
        <w:tblW w:w="15415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470"/>
        <w:gridCol w:w="1305"/>
        <w:gridCol w:w="3118"/>
        <w:gridCol w:w="1134"/>
        <w:gridCol w:w="5245"/>
        <w:gridCol w:w="1701"/>
        <w:gridCol w:w="1949"/>
      </w:tblGrid>
      <w:tr w:rsidR="004B5855" w:rsidTr="00522415">
        <w:trPr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4B5855" w:rsidRPr="006A7948" w:rsidRDefault="004B5855" w:rsidP="0009141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4B5855" w:rsidRDefault="004B5855" w:rsidP="006A79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新</w:t>
            </w:r>
          </w:p>
          <w:p w:rsidR="004B5855" w:rsidRPr="006A7948" w:rsidRDefault="004B5855" w:rsidP="006A79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継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4B5855" w:rsidRPr="006A7948" w:rsidRDefault="004B5855" w:rsidP="006A79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948">
              <w:rPr>
                <w:rFonts w:asciiTheme="majorEastAsia" w:eastAsiaTheme="majorEastAsia" w:hAnsiTheme="majorEastAsia" w:hint="eastAsia"/>
                <w:b/>
                <w:sz w:val="22"/>
              </w:rPr>
              <w:t>アクションプラン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B5855" w:rsidRPr="006A7948" w:rsidRDefault="004B5855" w:rsidP="006A79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948">
              <w:rPr>
                <w:rFonts w:asciiTheme="majorEastAsia" w:eastAsiaTheme="majorEastAsia" w:hAnsiTheme="majorEastAsia" w:hint="eastAsia"/>
                <w:b/>
                <w:sz w:val="22"/>
              </w:rPr>
              <w:t>対象・実施教科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D5910" w:rsidRDefault="004B5855" w:rsidP="006A79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948">
              <w:rPr>
                <w:rFonts w:asciiTheme="majorEastAsia" w:eastAsiaTheme="majorEastAsia" w:hAnsiTheme="majorEastAsia" w:hint="eastAsia"/>
                <w:b/>
                <w:sz w:val="22"/>
              </w:rPr>
              <w:t>頻度・</w:t>
            </w:r>
          </w:p>
          <w:p w:rsidR="004B5855" w:rsidRPr="006A7948" w:rsidRDefault="004B5855" w:rsidP="006A79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948">
              <w:rPr>
                <w:rFonts w:asciiTheme="majorEastAsia" w:eastAsiaTheme="majorEastAsia" w:hAnsiTheme="majorEastAsia" w:hint="eastAsia"/>
                <w:b/>
                <w:sz w:val="22"/>
              </w:rPr>
              <w:t>実施時期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4B5855" w:rsidRPr="006A7948" w:rsidRDefault="004B5855" w:rsidP="006A79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94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具体的な取り組み内容　</w:t>
            </w:r>
            <w:r w:rsidRPr="006A794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＜誰が、何を、どのように＞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B5855" w:rsidRPr="006A7948" w:rsidRDefault="004B5855" w:rsidP="006A79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948">
              <w:rPr>
                <w:rFonts w:asciiTheme="majorEastAsia" w:eastAsiaTheme="majorEastAsia" w:hAnsiTheme="majorEastAsia" w:hint="eastAsia"/>
                <w:b/>
                <w:sz w:val="22"/>
              </w:rPr>
              <w:t>達成確認方法</w:t>
            </w:r>
          </w:p>
        </w:tc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4B5855" w:rsidRDefault="004B5855" w:rsidP="000822B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A7948">
              <w:rPr>
                <w:rFonts w:asciiTheme="majorEastAsia" w:eastAsiaTheme="majorEastAsia" w:hAnsiTheme="majorEastAsia" w:hint="eastAsia"/>
                <w:b/>
                <w:sz w:val="22"/>
              </w:rPr>
              <w:t>達成目標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（＝数値）</w:t>
            </w:r>
          </w:p>
          <w:p w:rsidR="004B5855" w:rsidRPr="006A7948" w:rsidRDefault="004B5855" w:rsidP="00463A2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いつまで・</w:t>
            </w:r>
            <w:r w:rsidRPr="006A794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何を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・どの程度</w:t>
            </w:r>
          </w:p>
        </w:tc>
      </w:tr>
      <w:tr w:rsidR="00BE7583" w:rsidTr="00DF6D48">
        <w:trPr>
          <w:cantSplit/>
          <w:trHeight w:val="1134"/>
          <w:jc w:val="center"/>
        </w:trPr>
        <w:tc>
          <w:tcPr>
            <w:tcW w:w="493" w:type="dxa"/>
            <w:vAlign w:val="center"/>
          </w:tcPr>
          <w:p w:rsidR="00BE7583" w:rsidRPr="00091416" w:rsidRDefault="00BE7583" w:rsidP="001D3721">
            <w:pPr>
              <w:jc w:val="center"/>
              <w:rPr>
                <w:rFonts w:asciiTheme="minorEastAsia" w:hAnsiTheme="minorEastAsia"/>
                <w:sz w:val="22"/>
              </w:rPr>
            </w:pPr>
            <w:r w:rsidRPr="0009141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470" w:type="dxa"/>
            <w:vAlign w:val="center"/>
          </w:tcPr>
          <w:p w:rsidR="00BE7583" w:rsidRPr="006B11BC" w:rsidRDefault="00BE7583" w:rsidP="001D3721">
            <w:pPr>
              <w:jc w:val="center"/>
              <w:rPr>
                <w:rFonts w:asciiTheme="minorEastAsia" w:hAnsiTheme="minorEastAsia"/>
                <w:sz w:val="22"/>
              </w:rPr>
            </w:pPr>
            <w:r w:rsidRPr="006B11BC">
              <w:rPr>
                <w:rFonts w:asciiTheme="minorEastAsia" w:hAnsiTheme="minorEastAsia" w:hint="eastAsia"/>
                <w:sz w:val="22"/>
              </w:rPr>
              <w:t>継続</w:t>
            </w:r>
          </w:p>
        </w:tc>
        <w:tc>
          <w:tcPr>
            <w:tcW w:w="1305" w:type="dxa"/>
            <w:textDirection w:val="tbRlV"/>
            <w:vAlign w:val="center"/>
          </w:tcPr>
          <w:p w:rsidR="00BE7583" w:rsidRPr="006B11BC" w:rsidRDefault="00E15706" w:rsidP="001D3721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授業力向上</w:t>
            </w:r>
          </w:p>
        </w:tc>
        <w:tc>
          <w:tcPr>
            <w:tcW w:w="3118" w:type="dxa"/>
            <w:vAlign w:val="center"/>
          </w:tcPr>
          <w:p w:rsidR="002D637C" w:rsidRPr="006B11BC" w:rsidRDefault="00E15706" w:rsidP="003969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全教科</w:t>
            </w:r>
          </w:p>
        </w:tc>
        <w:tc>
          <w:tcPr>
            <w:tcW w:w="1134" w:type="dxa"/>
            <w:vAlign w:val="center"/>
          </w:tcPr>
          <w:p w:rsidR="00E15706" w:rsidRDefault="00E15706" w:rsidP="00DF6D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通年</w:t>
            </w:r>
          </w:p>
          <w:p w:rsidR="00BE7583" w:rsidRPr="006B11BC" w:rsidRDefault="00E15706" w:rsidP="00DF6D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年１５回</w:t>
            </w:r>
          </w:p>
        </w:tc>
        <w:tc>
          <w:tcPr>
            <w:tcW w:w="5245" w:type="dxa"/>
          </w:tcPr>
          <w:p w:rsidR="00E15706" w:rsidRDefault="00E15706" w:rsidP="00E15706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①小中連携による授業研究（年７回）</w:t>
            </w:r>
          </w:p>
          <w:p w:rsidR="00E15706" w:rsidRDefault="00E15706" w:rsidP="00E15706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・「人権尊重」の視点及び足立スタンダードに基づく授業改善</w:t>
            </w:r>
          </w:p>
          <w:p w:rsidR="00E15706" w:rsidRDefault="00E15706" w:rsidP="00E15706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②校内授業研究（年</w:t>
            </w:r>
            <w:r w:rsidR="00DF6D48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回）</w:t>
            </w:r>
          </w:p>
          <w:p w:rsidR="00E15706" w:rsidRDefault="00E15706" w:rsidP="00E15706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・単元を見通した授業改善</w:t>
            </w:r>
          </w:p>
          <w:p w:rsidR="00E15706" w:rsidRPr="00DE3842" w:rsidRDefault="00E15706" w:rsidP="00E15706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③管理</w:t>
            </w:r>
            <w:r w:rsidRPr="00DE3842">
              <w:rPr>
                <w:rFonts w:hint="eastAsia"/>
                <w:sz w:val="22"/>
              </w:rPr>
              <w:t>職による授業観察</w:t>
            </w:r>
            <w:r>
              <w:rPr>
                <w:rFonts w:hint="eastAsia"/>
                <w:sz w:val="22"/>
              </w:rPr>
              <w:t>（年２回）</w:t>
            </w:r>
          </w:p>
          <w:p w:rsidR="00E15706" w:rsidRPr="00DE3842" w:rsidRDefault="00E15706" w:rsidP="0039699E">
            <w:pPr>
              <w:pStyle w:val="a9"/>
              <w:rPr>
                <w:sz w:val="22"/>
              </w:rPr>
            </w:pPr>
            <w:r w:rsidRPr="00DE3842">
              <w:rPr>
                <w:rFonts w:hint="eastAsia"/>
                <w:sz w:val="22"/>
              </w:rPr>
              <w:t>・授業観察時に全教員が学習指導案を作成</w:t>
            </w:r>
          </w:p>
          <w:p w:rsidR="00E15706" w:rsidRPr="00DE3842" w:rsidRDefault="00E15706" w:rsidP="00E15706">
            <w:pPr>
              <w:pStyle w:val="a9"/>
              <w:rPr>
                <w:sz w:val="22"/>
              </w:rPr>
            </w:pPr>
            <w:r w:rsidRPr="00DE3842">
              <w:rPr>
                <w:rFonts w:hint="eastAsia"/>
                <w:sz w:val="22"/>
              </w:rPr>
              <w:t>・管理職による授業評価</w:t>
            </w:r>
          </w:p>
          <w:p w:rsidR="00E15706" w:rsidRDefault="001D3721" w:rsidP="00E15706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DF6D48">
              <w:rPr>
                <w:rFonts w:hint="eastAsia"/>
                <w:sz w:val="22"/>
              </w:rPr>
              <w:t>東京</w:t>
            </w:r>
            <w:r w:rsidR="00E15706">
              <w:rPr>
                <w:rFonts w:hint="eastAsia"/>
                <w:sz w:val="22"/>
              </w:rPr>
              <w:t>都教育委員会訪問</w:t>
            </w:r>
          </w:p>
          <w:p w:rsidR="00E15706" w:rsidRDefault="00E15706" w:rsidP="00E15706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DE384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全教科毎に指導主事を招聘し、授業研究を実施</w:t>
            </w:r>
          </w:p>
          <w:p w:rsidR="00E15706" w:rsidRPr="00DE3842" w:rsidRDefault="001D3721" w:rsidP="00E15706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E15706">
              <w:rPr>
                <w:rFonts w:hint="eastAsia"/>
                <w:sz w:val="22"/>
              </w:rPr>
              <w:t>生徒による</w:t>
            </w:r>
            <w:r w:rsidR="00E15706" w:rsidRPr="00DE3842">
              <w:rPr>
                <w:rFonts w:hint="eastAsia"/>
                <w:sz w:val="22"/>
              </w:rPr>
              <w:t>授業アンケートの実施</w:t>
            </w:r>
            <w:r w:rsidR="00E15706">
              <w:rPr>
                <w:rFonts w:hint="eastAsia"/>
                <w:sz w:val="22"/>
              </w:rPr>
              <w:t>（年２回）</w:t>
            </w:r>
          </w:p>
          <w:p w:rsidR="00FA0FA5" w:rsidRPr="006B11BC" w:rsidRDefault="00E15706" w:rsidP="00E15706">
            <w:pPr>
              <w:ind w:left="200" w:hangingChars="100" w:hanging="200"/>
              <w:jc w:val="left"/>
              <w:rPr>
                <w:rFonts w:asciiTheme="minorEastAsia" w:hAnsiTheme="minorEastAsia"/>
                <w:sz w:val="22"/>
              </w:rPr>
            </w:pPr>
            <w:r w:rsidRPr="00DE3842">
              <w:rPr>
                <w:rFonts w:hint="eastAsia"/>
                <w:sz w:val="22"/>
              </w:rPr>
              <w:t>・説明のわかりやすさ等について全生徒</w:t>
            </w:r>
            <w:r>
              <w:rPr>
                <w:rFonts w:hint="eastAsia"/>
                <w:sz w:val="22"/>
              </w:rPr>
              <w:t>が回答</w:t>
            </w:r>
          </w:p>
        </w:tc>
        <w:tc>
          <w:tcPr>
            <w:tcW w:w="1701" w:type="dxa"/>
          </w:tcPr>
          <w:p w:rsidR="00C7170A" w:rsidRPr="00DE3842" w:rsidRDefault="00C7170A" w:rsidP="00C7170A">
            <w:pPr>
              <w:widowControl/>
              <w:rPr>
                <w:sz w:val="22"/>
              </w:rPr>
            </w:pPr>
            <w:r w:rsidRPr="00DE3842">
              <w:rPr>
                <w:rFonts w:hint="eastAsia"/>
                <w:sz w:val="22"/>
              </w:rPr>
              <w:t>①年度末到達度確認テストによる検証</w:t>
            </w:r>
          </w:p>
          <w:p w:rsidR="00C7170A" w:rsidRPr="00DE3842" w:rsidRDefault="00C7170A" w:rsidP="00C7170A">
            <w:pPr>
              <w:widowControl/>
              <w:rPr>
                <w:sz w:val="22"/>
              </w:rPr>
            </w:pPr>
          </w:p>
          <w:p w:rsidR="00C7170A" w:rsidRPr="00DE3842" w:rsidRDefault="00C7170A" w:rsidP="00C7170A">
            <w:pPr>
              <w:widowControl/>
              <w:rPr>
                <w:sz w:val="22"/>
              </w:rPr>
            </w:pPr>
            <w:r w:rsidRPr="00DE3842">
              <w:rPr>
                <w:rFonts w:hint="eastAsia"/>
                <w:sz w:val="22"/>
              </w:rPr>
              <w:t>②次年度区学力調査による検証</w:t>
            </w:r>
          </w:p>
          <w:p w:rsidR="00C7170A" w:rsidRPr="00E31607" w:rsidRDefault="00C7170A" w:rsidP="00C7170A">
            <w:pPr>
              <w:widowControl/>
              <w:rPr>
                <w:sz w:val="22"/>
              </w:rPr>
            </w:pPr>
          </w:p>
          <w:p w:rsidR="00C7170A" w:rsidRPr="00DE3842" w:rsidRDefault="00C7170A" w:rsidP="00C7170A">
            <w:pPr>
              <w:widowControl/>
              <w:rPr>
                <w:sz w:val="22"/>
              </w:rPr>
            </w:pPr>
          </w:p>
          <w:p w:rsidR="00BE7583" w:rsidRPr="006B11BC" w:rsidRDefault="00C7170A" w:rsidP="0039699E">
            <w:pPr>
              <w:rPr>
                <w:rFonts w:asciiTheme="minorEastAsia" w:hAnsiTheme="minorEastAsia"/>
                <w:sz w:val="22"/>
              </w:rPr>
            </w:pPr>
            <w:r w:rsidRPr="00DE3842">
              <w:rPr>
                <w:rFonts w:hint="eastAsia"/>
                <w:sz w:val="22"/>
              </w:rPr>
              <w:t>③生徒</w:t>
            </w:r>
            <w:r>
              <w:rPr>
                <w:rFonts w:hint="eastAsia"/>
                <w:sz w:val="22"/>
              </w:rPr>
              <w:t>授業</w:t>
            </w:r>
            <w:r w:rsidRPr="00DE3842">
              <w:rPr>
                <w:rFonts w:hint="eastAsia"/>
                <w:sz w:val="22"/>
              </w:rPr>
              <w:t>アンケートによる検証</w:t>
            </w:r>
          </w:p>
        </w:tc>
        <w:tc>
          <w:tcPr>
            <w:tcW w:w="1949" w:type="dxa"/>
          </w:tcPr>
          <w:p w:rsidR="00C7170A" w:rsidRPr="00DE3842" w:rsidRDefault="00C7170A" w:rsidP="00C7170A">
            <w:pPr>
              <w:widowControl/>
              <w:rPr>
                <w:sz w:val="22"/>
              </w:rPr>
            </w:pPr>
            <w:r w:rsidRPr="00DE3842">
              <w:rPr>
                <w:rFonts w:hint="eastAsia"/>
                <w:sz w:val="22"/>
              </w:rPr>
              <w:t>①年度末到達度確認テストの正答率各学年</w:t>
            </w:r>
            <w:r w:rsidRPr="00DE3842">
              <w:rPr>
                <w:rFonts w:hint="eastAsia"/>
                <w:sz w:val="22"/>
              </w:rPr>
              <w:t>60</w:t>
            </w:r>
            <w:r w:rsidRPr="00DE3842">
              <w:rPr>
                <w:rFonts w:hint="eastAsia"/>
                <w:sz w:val="22"/>
              </w:rPr>
              <w:t>％以上</w:t>
            </w:r>
          </w:p>
          <w:p w:rsidR="00C7170A" w:rsidRPr="0039699E" w:rsidRDefault="00C7170A" w:rsidP="00C7170A">
            <w:pPr>
              <w:widowControl/>
              <w:rPr>
                <w:sz w:val="22"/>
              </w:rPr>
            </w:pPr>
          </w:p>
          <w:p w:rsidR="00C7170A" w:rsidRPr="00DE3842" w:rsidRDefault="00C7170A" w:rsidP="00C7170A">
            <w:pPr>
              <w:widowControl/>
              <w:rPr>
                <w:sz w:val="22"/>
              </w:rPr>
            </w:pPr>
            <w:r w:rsidRPr="00DE3842">
              <w:rPr>
                <w:rFonts w:hint="eastAsia"/>
                <w:sz w:val="22"/>
              </w:rPr>
              <w:t>②令和</w:t>
            </w:r>
            <w:r>
              <w:rPr>
                <w:rFonts w:hint="eastAsia"/>
                <w:sz w:val="22"/>
              </w:rPr>
              <w:t>４</w:t>
            </w:r>
            <w:r w:rsidRPr="00DE3842">
              <w:rPr>
                <w:rFonts w:hint="eastAsia"/>
                <w:sz w:val="22"/>
              </w:rPr>
              <w:t>年度区調査通過率各学年</w:t>
            </w:r>
            <w:r w:rsidRPr="00DE3842">
              <w:rPr>
                <w:rFonts w:hint="eastAsia"/>
                <w:sz w:val="22"/>
              </w:rPr>
              <w:t>70</w:t>
            </w:r>
            <w:r w:rsidRPr="00DE3842">
              <w:rPr>
                <w:rFonts w:hint="eastAsia"/>
                <w:sz w:val="22"/>
              </w:rPr>
              <w:t>％以上</w:t>
            </w:r>
          </w:p>
          <w:p w:rsidR="00C7170A" w:rsidRPr="00DE3842" w:rsidRDefault="00C7170A" w:rsidP="00C7170A">
            <w:pPr>
              <w:widowControl/>
              <w:rPr>
                <w:sz w:val="22"/>
              </w:rPr>
            </w:pPr>
          </w:p>
          <w:p w:rsidR="00BA5384" w:rsidRPr="009B2855" w:rsidRDefault="00C7170A" w:rsidP="00C7170A">
            <w:pPr>
              <w:jc w:val="left"/>
              <w:rPr>
                <w:rFonts w:asciiTheme="minorEastAsia" w:hAnsiTheme="minorEastAsia"/>
                <w:sz w:val="22"/>
              </w:rPr>
            </w:pPr>
            <w:r w:rsidRPr="00DE3842">
              <w:rPr>
                <w:rFonts w:hint="eastAsia"/>
                <w:sz w:val="22"/>
              </w:rPr>
              <w:t>③生徒</w:t>
            </w:r>
            <w:r>
              <w:rPr>
                <w:rFonts w:hint="eastAsia"/>
                <w:sz w:val="22"/>
              </w:rPr>
              <w:t>授業</w:t>
            </w:r>
            <w:r w:rsidRPr="00DE3842">
              <w:rPr>
                <w:rFonts w:hint="eastAsia"/>
                <w:sz w:val="22"/>
              </w:rPr>
              <w:t>アンケートの数値全項目</w:t>
            </w:r>
            <w:r w:rsidRPr="00DE3842">
              <w:rPr>
                <w:rFonts w:hint="eastAsia"/>
                <w:sz w:val="22"/>
              </w:rPr>
              <w:t>10</w:t>
            </w:r>
            <w:r w:rsidRPr="00DE3842">
              <w:rPr>
                <w:rFonts w:hint="eastAsia"/>
                <w:sz w:val="22"/>
              </w:rPr>
              <w:t>％以上向上</w:t>
            </w:r>
          </w:p>
        </w:tc>
      </w:tr>
      <w:tr w:rsidR="00DF6D48" w:rsidTr="00B634E2">
        <w:trPr>
          <w:cantSplit/>
          <w:trHeight w:val="1134"/>
          <w:jc w:val="center"/>
        </w:trPr>
        <w:tc>
          <w:tcPr>
            <w:tcW w:w="493" w:type="dxa"/>
            <w:vAlign w:val="center"/>
          </w:tcPr>
          <w:p w:rsidR="00DF6D48" w:rsidRPr="00091416" w:rsidRDefault="00B634E2" w:rsidP="00B634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70" w:type="dxa"/>
            <w:vAlign w:val="center"/>
          </w:tcPr>
          <w:p w:rsidR="00DF6D48" w:rsidRDefault="00DF6D48" w:rsidP="00B634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1AFB">
              <w:rPr>
                <w:rFonts w:asciiTheme="minorEastAsia" w:hAnsiTheme="minorEastAsia" w:hint="eastAsia"/>
                <w:color w:val="000000" w:themeColor="text1"/>
                <w:sz w:val="22"/>
              </w:rPr>
              <w:t>継</w:t>
            </w:r>
          </w:p>
          <w:p w:rsidR="00DF6D48" w:rsidRDefault="00DF6D48" w:rsidP="00B634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1AFB">
              <w:rPr>
                <w:rFonts w:asciiTheme="minorEastAsia" w:hAnsiTheme="minorEastAsia" w:hint="eastAsia"/>
                <w:color w:val="000000" w:themeColor="text1"/>
                <w:sz w:val="22"/>
              </w:rPr>
              <w:t>続</w:t>
            </w:r>
          </w:p>
          <w:p w:rsidR="00DF6D48" w:rsidRPr="00C31AFB" w:rsidRDefault="00DF6D48" w:rsidP="00B634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05" w:type="dxa"/>
            <w:textDirection w:val="tbRlV"/>
            <w:vAlign w:val="center"/>
          </w:tcPr>
          <w:p w:rsidR="00DF6D48" w:rsidRPr="00C31AFB" w:rsidRDefault="00DF6D48" w:rsidP="00DF6D48">
            <w:pPr>
              <w:ind w:left="113" w:right="113" w:firstLineChars="100" w:firstLine="20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ＩＣＴの活用</w:t>
            </w:r>
          </w:p>
        </w:tc>
        <w:tc>
          <w:tcPr>
            <w:tcW w:w="3118" w:type="dxa"/>
            <w:vAlign w:val="center"/>
          </w:tcPr>
          <w:p w:rsidR="00DF6D48" w:rsidRPr="00C31AFB" w:rsidRDefault="00DF6D48" w:rsidP="00DF6D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全教科</w:t>
            </w:r>
          </w:p>
        </w:tc>
        <w:tc>
          <w:tcPr>
            <w:tcW w:w="1134" w:type="dxa"/>
            <w:vAlign w:val="center"/>
          </w:tcPr>
          <w:p w:rsidR="00DF6D48" w:rsidRPr="00C31AFB" w:rsidRDefault="00DF6D48" w:rsidP="00B634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通年</w:t>
            </w:r>
          </w:p>
        </w:tc>
        <w:tc>
          <w:tcPr>
            <w:tcW w:w="5245" w:type="dxa"/>
          </w:tcPr>
          <w:p w:rsidR="00DF6D48" w:rsidRDefault="00DF6D48" w:rsidP="00DF6D48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>
              <w:rPr>
                <w:rFonts w:hint="eastAsia"/>
                <w:sz w:val="22"/>
              </w:rPr>
              <w:t>①クロームブックの有効活用</w:t>
            </w:r>
          </w:p>
          <w:p w:rsidR="00DF6D48" w:rsidRDefault="00DF6D48" w:rsidP="003332F4">
            <w:pPr>
              <w:pStyle w:val="a9"/>
              <w:tabs>
                <w:tab w:val="clear" w:pos="4252"/>
                <w:tab w:val="clear" w:pos="8504"/>
              </w:tabs>
              <w:snapToGrid/>
              <w:ind w:left="1202" w:hangingChars="600" w:hanging="1202"/>
              <w:rPr>
                <w:sz w:val="22"/>
              </w:rPr>
            </w:pPr>
            <w:r>
              <w:rPr>
                <w:rFonts w:hint="eastAsia"/>
                <w:sz w:val="22"/>
              </w:rPr>
              <w:t>・振り返り…</w:t>
            </w:r>
            <w:r w:rsidR="00B634E2">
              <w:rPr>
                <w:rFonts w:hint="eastAsia"/>
                <w:sz w:val="22"/>
              </w:rPr>
              <w:t>文書作成機能を用いて、</w:t>
            </w:r>
            <w:r>
              <w:rPr>
                <w:rFonts w:hint="eastAsia"/>
                <w:sz w:val="22"/>
              </w:rPr>
              <w:t>自分の言葉で</w:t>
            </w:r>
            <w:r w:rsidR="003332F4">
              <w:rPr>
                <w:rFonts w:hint="eastAsia"/>
                <w:sz w:val="22"/>
              </w:rPr>
              <w:t>１単位</w:t>
            </w:r>
            <w:r>
              <w:rPr>
                <w:rFonts w:hint="eastAsia"/>
                <w:sz w:val="22"/>
              </w:rPr>
              <w:t>時間の授業の内容をまとめたり、次の学習のめあてをもったりする。</w:t>
            </w:r>
          </w:p>
          <w:p w:rsidR="00DF6D48" w:rsidRPr="00DF6D48" w:rsidRDefault="00DF6D48" w:rsidP="003332F4">
            <w:pPr>
              <w:pStyle w:val="a9"/>
              <w:tabs>
                <w:tab w:val="clear" w:pos="4252"/>
                <w:tab w:val="clear" w:pos="8504"/>
              </w:tabs>
              <w:snapToGrid/>
              <w:ind w:left="1202" w:hangingChars="600" w:hanging="1202"/>
              <w:rPr>
                <w:sz w:val="22"/>
              </w:rPr>
            </w:pPr>
            <w:r>
              <w:rPr>
                <w:rFonts w:hint="eastAsia"/>
                <w:sz w:val="22"/>
              </w:rPr>
              <w:t>・探　究　…</w:t>
            </w:r>
            <w:r w:rsidR="00B634E2">
              <w:rPr>
                <w:rFonts w:hint="eastAsia"/>
                <w:sz w:val="22"/>
              </w:rPr>
              <w:t>家庭学習で問いをもち、</w:t>
            </w:r>
            <w:r w:rsidR="003332F4">
              <w:rPr>
                <w:rFonts w:hint="eastAsia"/>
                <w:sz w:val="22"/>
              </w:rPr>
              <w:t>各種ソフトを活用し、</w:t>
            </w:r>
            <w:r w:rsidR="00B634E2">
              <w:rPr>
                <w:rFonts w:hint="eastAsia"/>
                <w:sz w:val="22"/>
              </w:rPr>
              <w:t>授業で友達と協力して問題解決を図る。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4C4B0B" w:rsidRDefault="004C4B0B" w:rsidP="004C4B0B">
            <w:pPr>
              <w:pStyle w:val="a9"/>
              <w:tabs>
                <w:tab w:val="clear" w:pos="4252"/>
                <w:tab w:val="clear" w:pos="8504"/>
              </w:tabs>
              <w:snapToGrid/>
              <w:ind w:left="1202" w:hangingChars="600" w:hanging="1202"/>
              <w:rPr>
                <w:sz w:val="22"/>
              </w:rPr>
            </w:pPr>
            <w:r>
              <w:rPr>
                <w:rFonts w:hint="eastAsia"/>
                <w:sz w:val="22"/>
              </w:rPr>
              <w:t>・反転学習…家庭学習で次時の授業の予習をしたり、次時に関連する既習事項を復習したりして、学校の授業で問題解決型の授業に取り組む。</w:t>
            </w:r>
          </w:p>
          <w:p w:rsidR="00DF6D48" w:rsidRDefault="00DF6D48" w:rsidP="00DF6D48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>
              <w:rPr>
                <w:rFonts w:hint="eastAsia"/>
                <w:sz w:val="22"/>
              </w:rPr>
              <w:t>②デジタル教科書の活用</w:t>
            </w:r>
          </w:p>
          <w:p w:rsidR="00DF6D48" w:rsidRPr="004C4B0B" w:rsidRDefault="004C4B0B" w:rsidP="00DF6D48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3332F4">
              <w:rPr>
                <w:rFonts w:hint="eastAsia"/>
                <w:sz w:val="22"/>
              </w:rPr>
              <w:t>足立区が都のモデル区となっている</w:t>
            </w:r>
            <w:r>
              <w:rPr>
                <w:rFonts w:hint="eastAsia"/>
                <w:sz w:val="22"/>
              </w:rPr>
              <w:t>英語及び理科のデジタル教科書</w:t>
            </w:r>
            <w:r w:rsidR="003332F4">
              <w:rPr>
                <w:rFonts w:hint="eastAsia"/>
                <w:sz w:val="22"/>
              </w:rPr>
              <w:t>の有効</w:t>
            </w:r>
            <w:r>
              <w:rPr>
                <w:rFonts w:hint="eastAsia"/>
                <w:sz w:val="22"/>
              </w:rPr>
              <w:t>活用を図る。</w:t>
            </w:r>
          </w:p>
          <w:p w:rsidR="00DF6D48" w:rsidRDefault="00DF6D48" w:rsidP="00DF6D48">
            <w:pPr>
              <w:ind w:left="200" w:hangingChars="100" w:hanging="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③モニター機能の活用</w:t>
            </w:r>
          </w:p>
          <w:p w:rsidR="003332F4" w:rsidRDefault="003332F4" w:rsidP="0082550D">
            <w:pPr>
              <w:ind w:left="200" w:hangingChars="100" w:hanging="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・実物の投影などにより、授業における「実感を伴った理解」の</w:t>
            </w:r>
            <w:r w:rsidR="0082550D">
              <w:rPr>
                <w:rFonts w:hint="eastAsia"/>
                <w:sz w:val="22"/>
              </w:rPr>
              <w:t>深化・</w:t>
            </w:r>
            <w:r>
              <w:rPr>
                <w:rFonts w:hint="eastAsia"/>
                <w:sz w:val="22"/>
              </w:rPr>
              <w:t>充実を図る。</w:t>
            </w:r>
          </w:p>
          <w:p w:rsidR="0082550D" w:rsidRPr="0082550D" w:rsidRDefault="0082550D" w:rsidP="0082550D">
            <w:pPr>
              <w:ind w:left="200" w:hangingChars="100" w:hanging="200"/>
              <w:jc w:val="left"/>
              <w:rPr>
                <w:sz w:val="22"/>
              </w:rPr>
            </w:pPr>
          </w:p>
          <w:p w:rsidR="0082550D" w:rsidRDefault="0082550D" w:rsidP="0082550D">
            <w:pPr>
              <w:ind w:left="200" w:hangingChars="100" w:hanging="200"/>
              <w:jc w:val="left"/>
              <w:rPr>
                <w:sz w:val="22"/>
              </w:rPr>
            </w:pPr>
          </w:p>
          <w:p w:rsidR="0082550D" w:rsidRPr="005D7FBE" w:rsidRDefault="0082550D" w:rsidP="0082550D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F6D48" w:rsidRDefault="00DF6D48" w:rsidP="00DF6D48">
            <w:pPr>
              <w:pStyle w:val="a9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  <w:spacing w:line="260" w:lineRule="exact"/>
              <w:ind w:left="357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管理職に</w:t>
            </w:r>
          </w:p>
          <w:p w:rsidR="00DF6D48" w:rsidRDefault="00DF6D48" w:rsidP="00DF6D48">
            <w:pPr>
              <w:pStyle w:val="a9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よる授業観察</w:t>
            </w:r>
          </w:p>
          <w:p w:rsidR="00DF6D48" w:rsidRDefault="00DF6D48" w:rsidP="00DF6D48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  <w:p w:rsidR="00DF6D48" w:rsidRPr="00372455" w:rsidRDefault="00DF6D48" w:rsidP="00DF6D4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②生徒授業アンケート</w:t>
            </w:r>
          </w:p>
        </w:tc>
        <w:tc>
          <w:tcPr>
            <w:tcW w:w="1949" w:type="dxa"/>
          </w:tcPr>
          <w:p w:rsidR="00DF6D48" w:rsidRDefault="00DF6D48" w:rsidP="00DF6D48">
            <w:r w:rsidRPr="00664B5E">
              <w:rPr>
                <w:rFonts w:hint="eastAsia"/>
              </w:rPr>
              <w:t>①ＩＣＴ</w:t>
            </w:r>
            <w:r>
              <w:rPr>
                <w:rFonts w:hint="eastAsia"/>
              </w:rPr>
              <w:t>機器</w:t>
            </w:r>
            <w:r w:rsidRPr="00664B5E">
              <w:rPr>
                <w:rFonts w:hint="eastAsia"/>
              </w:rPr>
              <w:t>を活用して授業を行った教員が</w:t>
            </w:r>
            <w:r w:rsidRPr="00664B5E">
              <w:rPr>
                <w:rFonts w:hint="eastAsia"/>
              </w:rPr>
              <w:t>1</w:t>
            </w:r>
            <w:r w:rsidRPr="00664B5E">
              <w:t>00%</w:t>
            </w:r>
          </w:p>
          <w:p w:rsidR="003332F4" w:rsidRPr="00664B5E" w:rsidRDefault="003332F4" w:rsidP="00DF6D48"/>
          <w:p w:rsidR="00DF6D48" w:rsidRPr="006F006E" w:rsidRDefault="00DF6D48" w:rsidP="00DF6D48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  <w:u w:val="double"/>
              </w:rPr>
            </w:pPr>
            <w:r w:rsidRPr="00664B5E">
              <w:rPr>
                <w:rFonts w:hint="eastAsia"/>
              </w:rPr>
              <w:t>②生徒授業アンケートで、有効に活用されたとする回答</w:t>
            </w:r>
            <w:r w:rsidRPr="00664B5E">
              <w:rPr>
                <w:rFonts w:hint="eastAsia"/>
              </w:rPr>
              <w:t>80%</w:t>
            </w:r>
            <w:r w:rsidRPr="00664B5E">
              <w:rPr>
                <w:rFonts w:hint="eastAsia"/>
              </w:rPr>
              <w:t>以上</w:t>
            </w:r>
          </w:p>
        </w:tc>
      </w:tr>
      <w:tr w:rsidR="00B634E2" w:rsidTr="004C4B0B">
        <w:trPr>
          <w:cantSplit/>
          <w:trHeight w:val="1983"/>
          <w:jc w:val="center"/>
        </w:trPr>
        <w:tc>
          <w:tcPr>
            <w:tcW w:w="493" w:type="dxa"/>
            <w:vAlign w:val="center"/>
          </w:tcPr>
          <w:p w:rsidR="00B634E2" w:rsidRPr="00091416" w:rsidRDefault="00B634E2" w:rsidP="00B634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３</w:t>
            </w:r>
          </w:p>
        </w:tc>
        <w:tc>
          <w:tcPr>
            <w:tcW w:w="470" w:type="dxa"/>
            <w:vAlign w:val="center"/>
          </w:tcPr>
          <w:p w:rsidR="00B634E2" w:rsidRPr="00C31AFB" w:rsidRDefault="00B634E2" w:rsidP="00B634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新規</w:t>
            </w:r>
          </w:p>
        </w:tc>
        <w:tc>
          <w:tcPr>
            <w:tcW w:w="1305" w:type="dxa"/>
            <w:textDirection w:val="tbRlV"/>
            <w:vAlign w:val="center"/>
          </w:tcPr>
          <w:p w:rsidR="00B634E2" w:rsidRPr="00C31AFB" w:rsidRDefault="00B634E2" w:rsidP="004C4B0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ＡＩドリルの活用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634E2" w:rsidRDefault="00B634E2" w:rsidP="00B634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国語、社会、数学、理科、</w:t>
            </w:r>
          </w:p>
          <w:p w:rsidR="00B634E2" w:rsidRPr="00C31AFB" w:rsidRDefault="00B634E2" w:rsidP="0082550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英語</w:t>
            </w:r>
          </w:p>
        </w:tc>
        <w:tc>
          <w:tcPr>
            <w:tcW w:w="1134" w:type="dxa"/>
            <w:vAlign w:val="center"/>
          </w:tcPr>
          <w:p w:rsidR="00B634E2" w:rsidRPr="00C31AFB" w:rsidRDefault="00B634E2" w:rsidP="00B634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通年</w:t>
            </w:r>
          </w:p>
        </w:tc>
        <w:tc>
          <w:tcPr>
            <w:tcW w:w="5245" w:type="dxa"/>
          </w:tcPr>
          <w:p w:rsidR="00B634E2" w:rsidRDefault="00B634E2" w:rsidP="00B634E2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①授業での活用</w:t>
            </w:r>
          </w:p>
          <w:p w:rsidR="00B634E2" w:rsidRDefault="004C4B0B" w:rsidP="00B634E2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・導入時の復習やまとめの時間において、ＡＩドリルを使った自主的な学習を行う。</w:t>
            </w:r>
          </w:p>
          <w:p w:rsidR="00B634E2" w:rsidRDefault="00B634E2" w:rsidP="00B634E2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②ＡＩドリルタイム（放課後補充教室）での活用</w:t>
            </w:r>
          </w:p>
          <w:p w:rsidR="00B634E2" w:rsidRDefault="004C4B0B" w:rsidP="00B634E2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・授業での振り返りを基に、理解が不十分な個所等について自主的に復習に取り組む。</w:t>
            </w:r>
          </w:p>
          <w:p w:rsidR="004C4B0B" w:rsidRDefault="004C4B0B" w:rsidP="00B634E2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・授業の予習として、新しい単元の内容について、ＡＩドリルを使って事前学習を進める。</w:t>
            </w:r>
          </w:p>
          <w:p w:rsidR="00B634E2" w:rsidRDefault="00B634E2" w:rsidP="00B634E2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③家庭学習での活用</w:t>
            </w:r>
          </w:p>
          <w:p w:rsidR="004C4B0B" w:rsidRPr="005D7FBE" w:rsidRDefault="004C4B0B" w:rsidP="006A4765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82550D">
              <w:rPr>
                <w:rFonts w:asciiTheme="minorEastAsia" w:hAnsiTheme="minorEastAsia" w:hint="eastAsia"/>
                <w:color w:val="000000" w:themeColor="text1"/>
                <w:sz w:val="22"/>
              </w:rPr>
              <w:t>授業での振り返りに基づき、ＡＩドリルを活用して復習に取り組</w:t>
            </w:r>
            <w:r w:rsidR="006A4765">
              <w:rPr>
                <w:rFonts w:asciiTheme="minorEastAsia" w:hAnsiTheme="minorEastAsia" w:hint="eastAsia"/>
                <w:color w:val="000000" w:themeColor="text1"/>
                <w:sz w:val="22"/>
              </w:rPr>
              <w:t>ませる</w:t>
            </w:r>
            <w:r w:rsidR="0082550D">
              <w:rPr>
                <w:rFonts w:asciiTheme="minorEastAsia" w:hAnsiTheme="minorEastAsia" w:hint="eastAsia"/>
                <w:color w:val="000000" w:themeColor="text1"/>
                <w:sz w:val="22"/>
              </w:rPr>
              <w:t>など、生徒が「自立した学習者」となるよう支援する。</w:t>
            </w:r>
          </w:p>
        </w:tc>
        <w:tc>
          <w:tcPr>
            <w:tcW w:w="1701" w:type="dxa"/>
          </w:tcPr>
          <w:p w:rsidR="00B634E2" w:rsidRPr="00DE3842" w:rsidRDefault="00B634E2" w:rsidP="00B634E2">
            <w:pPr>
              <w:widowControl/>
              <w:rPr>
                <w:sz w:val="22"/>
              </w:rPr>
            </w:pPr>
            <w:r w:rsidRPr="00DE3842">
              <w:rPr>
                <w:rFonts w:hint="eastAsia"/>
                <w:sz w:val="22"/>
              </w:rPr>
              <w:t>①年度末到達度確認テストによる検証</w:t>
            </w:r>
          </w:p>
          <w:p w:rsidR="00B634E2" w:rsidRPr="00DE3842" w:rsidRDefault="00B634E2" w:rsidP="00B634E2">
            <w:pPr>
              <w:widowControl/>
              <w:rPr>
                <w:sz w:val="22"/>
              </w:rPr>
            </w:pPr>
          </w:p>
          <w:p w:rsidR="00B634E2" w:rsidRDefault="00B634E2" w:rsidP="00B634E2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E3842">
              <w:rPr>
                <w:rFonts w:hint="eastAsia"/>
                <w:sz w:val="22"/>
              </w:rPr>
              <w:t>②次年度区学力調査による検証</w:t>
            </w:r>
          </w:p>
        </w:tc>
        <w:tc>
          <w:tcPr>
            <w:tcW w:w="1949" w:type="dxa"/>
          </w:tcPr>
          <w:p w:rsidR="00B634E2" w:rsidRPr="00DE3842" w:rsidRDefault="00B634E2" w:rsidP="00B634E2">
            <w:pPr>
              <w:widowControl/>
              <w:rPr>
                <w:sz w:val="22"/>
              </w:rPr>
            </w:pPr>
            <w:r w:rsidRPr="00DE3842">
              <w:rPr>
                <w:rFonts w:hint="eastAsia"/>
                <w:sz w:val="22"/>
              </w:rPr>
              <w:t>①年度末到達度確認テストの正答率各学年</w:t>
            </w:r>
            <w:r w:rsidRPr="00DE3842">
              <w:rPr>
                <w:rFonts w:hint="eastAsia"/>
                <w:sz w:val="22"/>
              </w:rPr>
              <w:t>60</w:t>
            </w:r>
            <w:r w:rsidRPr="00DE3842">
              <w:rPr>
                <w:rFonts w:hint="eastAsia"/>
                <w:sz w:val="22"/>
              </w:rPr>
              <w:t>％以上</w:t>
            </w:r>
          </w:p>
          <w:p w:rsidR="00B634E2" w:rsidRDefault="00B634E2" w:rsidP="00B634E2">
            <w:pPr>
              <w:jc w:val="left"/>
              <w:rPr>
                <w:sz w:val="22"/>
              </w:rPr>
            </w:pPr>
          </w:p>
          <w:p w:rsidR="00B634E2" w:rsidRPr="006F006E" w:rsidRDefault="00B634E2" w:rsidP="00B634E2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  <w:u w:val="double"/>
              </w:rPr>
            </w:pPr>
            <w:r w:rsidRPr="00DE3842">
              <w:rPr>
                <w:rFonts w:hint="eastAsia"/>
                <w:sz w:val="22"/>
              </w:rPr>
              <w:t>②令和</w:t>
            </w:r>
            <w:r>
              <w:rPr>
                <w:rFonts w:hint="eastAsia"/>
                <w:sz w:val="22"/>
              </w:rPr>
              <w:t>４</w:t>
            </w:r>
            <w:r w:rsidRPr="00DE3842">
              <w:rPr>
                <w:rFonts w:hint="eastAsia"/>
                <w:sz w:val="22"/>
              </w:rPr>
              <w:t>年度区調査通過率各学年</w:t>
            </w:r>
            <w:r w:rsidRPr="00DE3842">
              <w:rPr>
                <w:rFonts w:hint="eastAsia"/>
                <w:sz w:val="22"/>
              </w:rPr>
              <w:t>70</w:t>
            </w:r>
            <w:r w:rsidRPr="00DE3842">
              <w:rPr>
                <w:rFonts w:hint="eastAsia"/>
                <w:sz w:val="22"/>
              </w:rPr>
              <w:t>％以上</w:t>
            </w:r>
          </w:p>
        </w:tc>
      </w:tr>
      <w:tr w:rsidR="00B634E2" w:rsidTr="0082550D">
        <w:trPr>
          <w:cantSplit/>
          <w:trHeight w:val="1718"/>
          <w:jc w:val="center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E2" w:rsidRPr="00091416" w:rsidRDefault="00B634E2" w:rsidP="008255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E2" w:rsidRPr="00C31AFB" w:rsidRDefault="00B634E2" w:rsidP="0082550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継続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634E2" w:rsidRDefault="00B634E2" w:rsidP="00B634E2">
            <w:pPr>
              <w:ind w:left="113" w:right="113" w:firstLineChars="400" w:firstLine="801"/>
              <w:jc w:val="left"/>
              <w:rPr>
                <w:rFonts w:asciiTheme="minorEastAsia" w:hAnsiTheme="minorEastAsia"/>
                <w:sz w:val="22"/>
              </w:rPr>
            </w:pPr>
            <w:r w:rsidRPr="00C31AFB">
              <w:rPr>
                <w:rFonts w:asciiTheme="minorEastAsia" w:hAnsiTheme="minorEastAsia" w:hint="eastAsia"/>
                <w:color w:val="000000" w:themeColor="text1"/>
                <w:sz w:val="22"/>
              </w:rPr>
              <w:t>サマースクール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E2" w:rsidRDefault="00B634E2" w:rsidP="00B634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数学、英語</w:t>
            </w:r>
          </w:p>
        </w:tc>
        <w:tc>
          <w:tcPr>
            <w:tcW w:w="1134" w:type="dxa"/>
            <w:vAlign w:val="center"/>
          </w:tcPr>
          <w:p w:rsidR="00B634E2" w:rsidRDefault="00B634E2" w:rsidP="00B634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夏季休業中</w:t>
            </w:r>
            <w:r w:rsidRPr="00C31AFB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</w:p>
          <w:p w:rsidR="00B634E2" w:rsidRPr="00C31AFB" w:rsidRDefault="00B634E2" w:rsidP="00B634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1AFB">
              <w:rPr>
                <w:rFonts w:asciiTheme="minorEastAsia" w:hAnsiTheme="minorEastAsia" w:hint="eastAsia"/>
                <w:color w:val="000000" w:themeColor="text1"/>
                <w:sz w:val="22"/>
              </w:rPr>
              <w:t>７日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間</w:t>
            </w:r>
          </w:p>
          <w:p w:rsidR="00B634E2" w:rsidRDefault="00B634E2" w:rsidP="00B634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5" w:type="dxa"/>
          </w:tcPr>
          <w:p w:rsidR="00B634E2" w:rsidRDefault="00B634E2" w:rsidP="00B634E2">
            <w:pPr>
              <w:ind w:left="401" w:hangingChars="200" w:hanging="401"/>
              <w:jc w:val="left"/>
              <w:rPr>
                <w:sz w:val="22"/>
              </w:rPr>
            </w:pPr>
            <w:r w:rsidRPr="00EB479A">
              <w:rPr>
                <w:rFonts w:hint="eastAsia"/>
                <w:sz w:val="22"/>
              </w:rPr>
              <w:t>基礎学力の定着</w:t>
            </w:r>
            <w:r>
              <w:rPr>
                <w:rFonts w:hint="eastAsia"/>
                <w:sz w:val="22"/>
              </w:rPr>
              <w:t>及び学習の習慣化、学習意欲の向上</w:t>
            </w:r>
          </w:p>
          <w:p w:rsidR="00B634E2" w:rsidRPr="00C31AFB" w:rsidRDefault="00B634E2" w:rsidP="00B634E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【指導体制】教科担当＋学年サポートメンバー</w:t>
            </w:r>
          </w:p>
          <w:p w:rsidR="00B634E2" w:rsidRDefault="00B634E2" w:rsidP="00B634E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【取</w:t>
            </w:r>
            <w:r w:rsidRPr="00C31AFB">
              <w:rPr>
                <w:rFonts w:asciiTheme="minorEastAsia" w:hAnsiTheme="minorEastAsia" w:hint="eastAsia"/>
                <w:color w:val="000000" w:themeColor="text1"/>
                <w:sz w:val="22"/>
              </w:rPr>
              <w:t>組み内容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】</w:t>
            </w:r>
          </w:p>
          <w:p w:rsidR="00B634E2" w:rsidRDefault="00B634E2" w:rsidP="00B634E2">
            <w:pPr>
              <w:ind w:leftChars="111" w:left="411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・初日に事前テスト、最終日に事後テストを実施し、結果を比較し、数値を算出、入力する。</w:t>
            </w:r>
          </w:p>
          <w:p w:rsidR="00B634E2" w:rsidRDefault="00B634E2" w:rsidP="00B634E2">
            <w:pPr>
              <w:ind w:leftChars="111" w:left="411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C31AFB">
              <w:rPr>
                <w:rFonts w:asciiTheme="minorEastAsia" w:hAnsiTheme="minorEastAsia" w:hint="eastAsia"/>
                <w:color w:val="000000" w:themeColor="text1"/>
                <w:sz w:val="22"/>
              </w:rPr>
              <w:t>学年の教員で補助を行い、一人一人に対して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きめ</w:t>
            </w:r>
            <w:r w:rsidRPr="00C31AFB">
              <w:rPr>
                <w:rFonts w:asciiTheme="minorEastAsia" w:hAnsiTheme="minorEastAsia" w:hint="eastAsia"/>
                <w:color w:val="000000" w:themeColor="text1"/>
                <w:sz w:val="22"/>
              </w:rPr>
              <w:t>細かい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指導を心掛ける。</w:t>
            </w:r>
          </w:p>
          <w:p w:rsidR="00B634E2" w:rsidRPr="009B58FB" w:rsidRDefault="00B634E2" w:rsidP="00B634E2">
            <w:pPr>
              <w:ind w:leftChars="111" w:left="411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・１・２学年は期間中毎日、受講生徒対象に夏季課題（宿題）補習時間として１時間設ける。</w:t>
            </w:r>
          </w:p>
          <w:p w:rsidR="006A4765" w:rsidRDefault="00B634E2" w:rsidP="00B634E2">
            <w:pPr>
              <w:ind w:left="401" w:hangingChars="200" w:hanging="401"/>
              <w:jc w:val="left"/>
              <w:rPr>
                <w:rFonts w:asciiTheme="minorEastAsia" w:hAnsiTheme="minorEastAsia"/>
                <w:sz w:val="22"/>
              </w:rPr>
            </w:pPr>
            <w:r w:rsidRPr="006B11BC">
              <w:rPr>
                <w:rFonts w:asciiTheme="minorEastAsia" w:hAnsiTheme="minorEastAsia" w:hint="eastAsia"/>
                <w:sz w:val="22"/>
              </w:rPr>
              <w:t>【使用教材】</w:t>
            </w:r>
            <w:r w:rsidR="006A4765">
              <w:rPr>
                <w:rFonts w:asciiTheme="minorEastAsia" w:hAnsiTheme="minorEastAsia" w:hint="eastAsia"/>
                <w:sz w:val="22"/>
              </w:rPr>
              <w:t>区学力調査問題、区学力調査復習問題</w:t>
            </w:r>
          </w:p>
          <w:p w:rsidR="00B634E2" w:rsidRPr="00E15706" w:rsidRDefault="00B634E2" w:rsidP="006A4765">
            <w:pPr>
              <w:ind w:left="401" w:hangingChars="200" w:hanging="40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</w:t>
            </w:r>
            <w:r w:rsidRPr="006B11BC">
              <w:rPr>
                <w:rFonts w:asciiTheme="minorEastAsia" w:hAnsiTheme="minorEastAsia" w:hint="eastAsia"/>
                <w:sz w:val="22"/>
              </w:rPr>
              <w:t>次へのステップ</w:t>
            </w:r>
            <w:r>
              <w:rPr>
                <w:rFonts w:asciiTheme="minorEastAsia" w:hAnsiTheme="minorEastAsia" w:hint="eastAsia"/>
                <w:sz w:val="22"/>
              </w:rPr>
              <w:t>」（C4th書庫）、自作プリント</w:t>
            </w:r>
            <w:r w:rsidRPr="006B11BC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701" w:type="dxa"/>
          </w:tcPr>
          <w:p w:rsidR="00B634E2" w:rsidRDefault="00B634E2" w:rsidP="00B634E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事前テスト</w:t>
            </w:r>
          </w:p>
          <w:p w:rsidR="00B634E2" w:rsidRDefault="00B634E2" w:rsidP="00B634E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事後</w:t>
            </w:r>
            <w:r w:rsidRPr="00F830A2">
              <w:rPr>
                <w:rFonts w:asciiTheme="minorEastAsia" w:hAnsiTheme="minorEastAsia" w:hint="eastAsia"/>
                <w:color w:val="000000" w:themeColor="text1"/>
                <w:sz w:val="22"/>
              </w:rPr>
              <w:t>テスト</w:t>
            </w:r>
          </w:p>
          <w:p w:rsidR="00B634E2" w:rsidRPr="00CD217A" w:rsidRDefault="00B634E2" w:rsidP="00B634E2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49" w:type="dxa"/>
          </w:tcPr>
          <w:p w:rsidR="00B634E2" w:rsidRPr="00FB77A4" w:rsidRDefault="00B634E2" w:rsidP="00B634E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2FDD">
              <w:rPr>
                <w:rFonts w:hint="eastAsia"/>
                <w:sz w:val="22"/>
              </w:rPr>
              <w:t>最終日に事後テストを実施し、正答率</w:t>
            </w:r>
            <w:r w:rsidRPr="00FA2FDD">
              <w:rPr>
                <w:rFonts w:hint="eastAsia"/>
                <w:sz w:val="22"/>
              </w:rPr>
              <w:t>10%</w:t>
            </w:r>
            <w:r w:rsidRPr="00FA2FDD">
              <w:rPr>
                <w:rFonts w:hint="eastAsia"/>
                <w:sz w:val="22"/>
              </w:rPr>
              <w:t>以上上昇</w:t>
            </w:r>
          </w:p>
        </w:tc>
      </w:tr>
      <w:tr w:rsidR="0082550D" w:rsidTr="0082550D">
        <w:trPr>
          <w:cantSplit/>
          <w:trHeight w:val="1718"/>
          <w:jc w:val="center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50D" w:rsidRDefault="0082550D" w:rsidP="008255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50D" w:rsidRDefault="006A4765" w:rsidP="006A47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再開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2550D" w:rsidRPr="00C31AFB" w:rsidRDefault="0082550D" w:rsidP="0082550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中１夏季勉強合宿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50D" w:rsidRDefault="0082550D" w:rsidP="00B634E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2550D" w:rsidRDefault="0082550D" w:rsidP="00B634E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2550D" w:rsidRDefault="0082550D" w:rsidP="00B634E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2550D" w:rsidRDefault="0082550D" w:rsidP="00B634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算数・数学</w:t>
            </w:r>
          </w:p>
          <w:p w:rsidR="0082550D" w:rsidRDefault="0082550D" w:rsidP="00B634E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2550D" w:rsidRDefault="0082550D" w:rsidP="00B634E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2550D" w:rsidRDefault="0082550D" w:rsidP="00B634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550D" w:rsidRDefault="0082550D" w:rsidP="00B634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２泊３日</w:t>
            </w:r>
          </w:p>
        </w:tc>
        <w:tc>
          <w:tcPr>
            <w:tcW w:w="5245" w:type="dxa"/>
          </w:tcPr>
          <w:p w:rsidR="006A4765" w:rsidRDefault="006A4765" w:rsidP="00B634E2">
            <w:pPr>
              <w:ind w:left="401" w:hangingChars="200" w:hanging="40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小学校で学習した算数の内容を中心に、中学校数学で必</w:t>
            </w:r>
          </w:p>
          <w:p w:rsidR="0082550D" w:rsidRPr="00EB479A" w:rsidRDefault="006A4765" w:rsidP="006A4765">
            <w:pPr>
              <w:ind w:left="401" w:hangingChars="200" w:hanging="40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要となる既習事項の復習・定着を図る。</w:t>
            </w:r>
          </w:p>
        </w:tc>
        <w:tc>
          <w:tcPr>
            <w:tcW w:w="1701" w:type="dxa"/>
          </w:tcPr>
          <w:p w:rsidR="0082550D" w:rsidRDefault="0082550D" w:rsidP="0082550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事前テスト</w:t>
            </w:r>
          </w:p>
          <w:p w:rsidR="0082550D" w:rsidRDefault="0082550D" w:rsidP="0082550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事後</w:t>
            </w:r>
            <w:r w:rsidRPr="00F830A2">
              <w:rPr>
                <w:rFonts w:asciiTheme="minorEastAsia" w:hAnsiTheme="minorEastAsia" w:hint="eastAsia"/>
                <w:color w:val="000000" w:themeColor="text1"/>
                <w:sz w:val="22"/>
              </w:rPr>
              <w:t>テスト</w:t>
            </w:r>
          </w:p>
          <w:p w:rsidR="0082550D" w:rsidRDefault="0082550D" w:rsidP="00B634E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49" w:type="dxa"/>
          </w:tcPr>
          <w:p w:rsidR="0082550D" w:rsidRPr="00FA2FDD" w:rsidRDefault="0082550D" w:rsidP="00B634E2">
            <w:pPr>
              <w:jc w:val="left"/>
              <w:rPr>
                <w:sz w:val="22"/>
              </w:rPr>
            </w:pPr>
            <w:r w:rsidRPr="00FA2FDD">
              <w:rPr>
                <w:rFonts w:hint="eastAsia"/>
                <w:sz w:val="22"/>
              </w:rPr>
              <w:t>終日に事後テストを実施し、正答率</w:t>
            </w:r>
            <w:r w:rsidRPr="00FA2FDD">
              <w:rPr>
                <w:rFonts w:hint="eastAsia"/>
                <w:sz w:val="22"/>
              </w:rPr>
              <w:t>10%</w:t>
            </w:r>
            <w:r w:rsidRPr="00FA2FDD">
              <w:rPr>
                <w:rFonts w:hint="eastAsia"/>
                <w:sz w:val="22"/>
              </w:rPr>
              <w:t>以上上昇</w:t>
            </w:r>
          </w:p>
        </w:tc>
      </w:tr>
    </w:tbl>
    <w:p w:rsidR="009F4EC9" w:rsidRDefault="009F4EC9" w:rsidP="00BA64D2">
      <w:pPr>
        <w:jc w:val="left"/>
      </w:pPr>
    </w:p>
    <w:sectPr w:rsidR="009F4EC9" w:rsidSect="00C53683">
      <w:pgSz w:w="16838" w:h="11906" w:orient="landscape" w:code="9"/>
      <w:pgMar w:top="510" w:right="567" w:bottom="720" w:left="567" w:header="0" w:footer="0" w:gutter="0"/>
      <w:cols w:space="425"/>
      <w:docGrid w:type="linesAndChars" w:linePitch="288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58" w:rsidRDefault="00A03458" w:rsidP="0032639F">
      <w:r>
        <w:separator/>
      </w:r>
    </w:p>
  </w:endnote>
  <w:endnote w:type="continuationSeparator" w:id="0">
    <w:p w:rsidR="00A03458" w:rsidRDefault="00A03458" w:rsidP="0032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58" w:rsidRDefault="00A03458" w:rsidP="0032639F">
      <w:r>
        <w:separator/>
      </w:r>
    </w:p>
  </w:footnote>
  <w:footnote w:type="continuationSeparator" w:id="0">
    <w:p w:rsidR="00A03458" w:rsidRDefault="00A03458" w:rsidP="0032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4138"/>
    <w:multiLevelType w:val="hybridMultilevel"/>
    <w:tmpl w:val="2FEA969C"/>
    <w:lvl w:ilvl="0" w:tplc="C33C5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40439"/>
    <w:multiLevelType w:val="hybridMultilevel"/>
    <w:tmpl w:val="A4C241EA"/>
    <w:lvl w:ilvl="0" w:tplc="E9E0C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5909BD"/>
    <w:multiLevelType w:val="hybridMultilevel"/>
    <w:tmpl w:val="6CDA4302"/>
    <w:lvl w:ilvl="0" w:tplc="D06EB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B1272"/>
    <w:multiLevelType w:val="hybridMultilevel"/>
    <w:tmpl w:val="C2E0AF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7C2831"/>
    <w:multiLevelType w:val="hybridMultilevel"/>
    <w:tmpl w:val="241EECBA"/>
    <w:lvl w:ilvl="0" w:tplc="B51C7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EA119C"/>
    <w:multiLevelType w:val="hybridMultilevel"/>
    <w:tmpl w:val="9776EF1A"/>
    <w:lvl w:ilvl="0" w:tplc="724C5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02"/>
    <w:rsid w:val="00020169"/>
    <w:rsid w:val="00033117"/>
    <w:rsid w:val="000457CD"/>
    <w:rsid w:val="00067EE8"/>
    <w:rsid w:val="000822B1"/>
    <w:rsid w:val="00091416"/>
    <w:rsid w:val="00093F7D"/>
    <w:rsid w:val="000959F0"/>
    <w:rsid w:val="000A1690"/>
    <w:rsid w:val="000A20FB"/>
    <w:rsid w:val="000B178B"/>
    <w:rsid w:val="000B23F0"/>
    <w:rsid w:val="000C4A85"/>
    <w:rsid w:val="000D2AE3"/>
    <w:rsid w:val="000E05E5"/>
    <w:rsid w:val="000F6212"/>
    <w:rsid w:val="0015159D"/>
    <w:rsid w:val="0015176C"/>
    <w:rsid w:val="00165945"/>
    <w:rsid w:val="00172F64"/>
    <w:rsid w:val="00197194"/>
    <w:rsid w:val="00197F78"/>
    <w:rsid w:val="001A6B17"/>
    <w:rsid w:val="001B1D13"/>
    <w:rsid w:val="001C0F4A"/>
    <w:rsid w:val="001C5828"/>
    <w:rsid w:val="001D3721"/>
    <w:rsid w:val="001E4439"/>
    <w:rsid w:val="001E67EC"/>
    <w:rsid w:val="00207387"/>
    <w:rsid w:val="00215C72"/>
    <w:rsid w:val="00217592"/>
    <w:rsid w:val="00223BFB"/>
    <w:rsid w:val="00250868"/>
    <w:rsid w:val="00281CB7"/>
    <w:rsid w:val="00292970"/>
    <w:rsid w:val="00294CEF"/>
    <w:rsid w:val="002D637C"/>
    <w:rsid w:val="002E2A1A"/>
    <w:rsid w:val="0032639F"/>
    <w:rsid w:val="003332F4"/>
    <w:rsid w:val="00351719"/>
    <w:rsid w:val="0039699E"/>
    <w:rsid w:val="003A2D58"/>
    <w:rsid w:val="003B06EA"/>
    <w:rsid w:val="003D6B1C"/>
    <w:rsid w:val="003E2744"/>
    <w:rsid w:val="003E6B25"/>
    <w:rsid w:val="00416D16"/>
    <w:rsid w:val="00425CE1"/>
    <w:rsid w:val="004307EA"/>
    <w:rsid w:val="00430A13"/>
    <w:rsid w:val="004403E1"/>
    <w:rsid w:val="00453F00"/>
    <w:rsid w:val="00463A20"/>
    <w:rsid w:val="00470126"/>
    <w:rsid w:val="004705AC"/>
    <w:rsid w:val="00471719"/>
    <w:rsid w:val="00473557"/>
    <w:rsid w:val="00493554"/>
    <w:rsid w:val="004969E3"/>
    <w:rsid w:val="004B5855"/>
    <w:rsid w:val="004B7738"/>
    <w:rsid w:val="004C1B34"/>
    <w:rsid w:val="004C3533"/>
    <w:rsid w:val="004C4B0B"/>
    <w:rsid w:val="004D59AD"/>
    <w:rsid w:val="004E2A24"/>
    <w:rsid w:val="00522415"/>
    <w:rsid w:val="005315E2"/>
    <w:rsid w:val="005361B3"/>
    <w:rsid w:val="00544972"/>
    <w:rsid w:val="0055429C"/>
    <w:rsid w:val="00577B94"/>
    <w:rsid w:val="00590E50"/>
    <w:rsid w:val="005C202D"/>
    <w:rsid w:val="005C25A4"/>
    <w:rsid w:val="005D7FBE"/>
    <w:rsid w:val="005F32FE"/>
    <w:rsid w:val="005F727F"/>
    <w:rsid w:val="006056B1"/>
    <w:rsid w:val="006559B0"/>
    <w:rsid w:val="00671B7F"/>
    <w:rsid w:val="00673E71"/>
    <w:rsid w:val="006A4765"/>
    <w:rsid w:val="006A7948"/>
    <w:rsid w:val="006B5DE8"/>
    <w:rsid w:val="006D193D"/>
    <w:rsid w:val="006D1A2D"/>
    <w:rsid w:val="006F006E"/>
    <w:rsid w:val="00702AA8"/>
    <w:rsid w:val="007037CC"/>
    <w:rsid w:val="007056E5"/>
    <w:rsid w:val="00713170"/>
    <w:rsid w:val="00715336"/>
    <w:rsid w:val="00727072"/>
    <w:rsid w:val="00727EB2"/>
    <w:rsid w:val="00783456"/>
    <w:rsid w:val="007A3F63"/>
    <w:rsid w:val="007E3417"/>
    <w:rsid w:val="007F30F3"/>
    <w:rsid w:val="008031F8"/>
    <w:rsid w:val="0082550D"/>
    <w:rsid w:val="00833386"/>
    <w:rsid w:val="00843B35"/>
    <w:rsid w:val="0084776F"/>
    <w:rsid w:val="00875016"/>
    <w:rsid w:val="00881B39"/>
    <w:rsid w:val="008C433D"/>
    <w:rsid w:val="008D13A2"/>
    <w:rsid w:val="008E73C1"/>
    <w:rsid w:val="0091314F"/>
    <w:rsid w:val="009458EA"/>
    <w:rsid w:val="009472C8"/>
    <w:rsid w:val="009565A8"/>
    <w:rsid w:val="009664CC"/>
    <w:rsid w:val="00973AAF"/>
    <w:rsid w:val="00980D1E"/>
    <w:rsid w:val="00995EAE"/>
    <w:rsid w:val="009A2118"/>
    <w:rsid w:val="009A6610"/>
    <w:rsid w:val="009B2855"/>
    <w:rsid w:val="009B58FB"/>
    <w:rsid w:val="009C411F"/>
    <w:rsid w:val="009F4EC9"/>
    <w:rsid w:val="00A03458"/>
    <w:rsid w:val="00A55EF6"/>
    <w:rsid w:val="00A56FD2"/>
    <w:rsid w:val="00A603CD"/>
    <w:rsid w:val="00A63184"/>
    <w:rsid w:val="00A81180"/>
    <w:rsid w:val="00A85CCF"/>
    <w:rsid w:val="00A86103"/>
    <w:rsid w:val="00A8612F"/>
    <w:rsid w:val="00A91511"/>
    <w:rsid w:val="00AA66A1"/>
    <w:rsid w:val="00AB1E05"/>
    <w:rsid w:val="00AB5A50"/>
    <w:rsid w:val="00AD5CED"/>
    <w:rsid w:val="00AE3C61"/>
    <w:rsid w:val="00AF19D7"/>
    <w:rsid w:val="00AF202B"/>
    <w:rsid w:val="00B03198"/>
    <w:rsid w:val="00B17C60"/>
    <w:rsid w:val="00B4739D"/>
    <w:rsid w:val="00B634E2"/>
    <w:rsid w:val="00B824FF"/>
    <w:rsid w:val="00B96E91"/>
    <w:rsid w:val="00BA5384"/>
    <w:rsid w:val="00BA64D2"/>
    <w:rsid w:val="00BC49E9"/>
    <w:rsid w:val="00BD5910"/>
    <w:rsid w:val="00BE7583"/>
    <w:rsid w:val="00C311E6"/>
    <w:rsid w:val="00C35340"/>
    <w:rsid w:val="00C53683"/>
    <w:rsid w:val="00C56C7F"/>
    <w:rsid w:val="00C620A1"/>
    <w:rsid w:val="00C7170A"/>
    <w:rsid w:val="00C73DEE"/>
    <w:rsid w:val="00C95AE3"/>
    <w:rsid w:val="00CA7E81"/>
    <w:rsid w:val="00CB6E2C"/>
    <w:rsid w:val="00CB763F"/>
    <w:rsid w:val="00CD217A"/>
    <w:rsid w:val="00D054AC"/>
    <w:rsid w:val="00D115CC"/>
    <w:rsid w:val="00D2157F"/>
    <w:rsid w:val="00D25DDB"/>
    <w:rsid w:val="00D44712"/>
    <w:rsid w:val="00D61D36"/>
    <w:rsid w:val="00D62051"/>
    <w:rsid w:val="00D87805"/>
    <w:rsid w:val="00D921D1"/>
    <w:rsid w:val="00D95A34"/>
    <w:rsid w:val="00DC512F"/>
    <w:rsid w:val="00DE4D2C"/>
    <w:rsid w:val="00DF6D48"/>
    <w:rsid w:val="00E05767"/>
    <w:rsid w:val="00E15706"/>
    <w:rsid w:val="00E27BF8"/>
    <w:rsid w:val="00E314B3"/>
    <w:rsid w:val="00E31607"/>
    <w:rsid w:val="00E448FB"/>
    <w:rsid w:val="00E515AF"/>
    <w:rsid w:val="00E60557"/>
    <w:rsid w:val="00E6180C"/>
    <w:rsid w:val="00E645B3"/>
    <w:rsid w:val="00E6634C"/>
    <w:rsid w:val="00EB160B"/>
    <w:rsid w:val="00EB3BD9"/>
    <w:rsid w:val="00EC0202"/>
    <w:rsid w:val="00ED074F"/>
    <w:rsid w:val="00F53AC4"/>
    <w:rsid w:val="00F80142"/>
    <w:rsid w:val="00FA0FA5"/>
    <w:rsid w:val="00FA661F"/>
    <w:rsid w:val="00FB77A4"/>
    <w:rsid w:val="00FC6B06"/>
    <w:rsid w:val="00FD6900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073E4B8-0BCF-4A5B-9BB3-569765EC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0202"/>
  </w:style>
  <w:style w:type="character" w:customStyle="1" w:styleId="a4">
    <w:name w:val="日付 (文字)"/>
    <w:basedOn w:val="a0"/>
    <w:link w:val="a3"/>
    <w:uiPriority w:val="99"/>
    <w:semiHidden/>
    <w:rsid w:val="00EC0202"/>
  </w:style>
  <w:style w:type="table" w:styleId="a5">
    <w:name w:val="Table Grid"/>
    <w:basedOn w:val="a1"/>
    <w:uiPriority w:val="59"/>
    <w:rsid w:val="00EC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6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65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B763F"/>
    <w:pPr>
      <w:ind w:leftChars="400" w:left="840"/>
    </w:pPr>
  </w:style>
  <w:style w:type="paragraph" w:styleId="a9">
    <w:name w:val="header"/>
    <w:basedOn w:val="a"/>
    <w:link w:val="aa"/>
    <w:unhideWhenUsed/>
    <w:rsid w:val="003263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2639F"/>
  </w:style>
  <w:style w:type="paragraph" w:styleId="ab">
    <w:name w:val="footer"/>
    <w:basedOn w:val="a"/>
    <w:link w:val="ac"/>
    <w:uiPriority w:val="99"/>
    <w:unhideWhenUsed/>
    <w:rsid w:val="003263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6DFD-5543-4DAE-B914-DA07A5C7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松塚　智加子(足立区)</dc:creator>
  <cp:keywords/>
  <dc:description/>
  <cp:lastModifiedBy>足立区教育委員会</cp:lastModifiedBy>
  <cp:revision>2</cp:revision>
  <cp:lastPrinted>2022-04-14T05:14:00Z</cp:lastPrinted>
  <dcterms:created xsi:type="dcterms:W3CDTF">2022-08-09T05:41:00Z</dcterms:created>
  <dcterms:modified xsi:type="dcterms:W3CDTF">2022-08-09T05:41:00Z</dcterms:modified>
</cp:coreProperties>
</file>